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34" w:rsidRPr="004C4E34" w:rsidRDefault="004C4E34" w:rsidP="004C4E34">
      <w:pPr>
        <w:spacing w:before="100" w:beforeAutospacing="1" w:after="198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 ООО «Транзит-2000»</w:t>
      </w:r>
    </w:p>
    <w:p w:rsidR="004C4E34" w:rsidRPr="004C4E34" w:rsidRDefault="004C4E34" w:rsidP="004C4E34">
      <w:pPr>
        <w:spacing w:before="100" w:beforeAutospacing="1" w:after="198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осуществления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 заявителей к электрическим сетям.</w:t>
      </w:r>
    </w:p>
    <w:p w:rsidR="004C4E34" w:rsidRPr="004C4E34" w:rsidRDefault="004C4E34" w:rsidP="004C4E3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юридическое, физическое лицо или индивидуальный предприниматель.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 (процесса)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основание ее взимания осуществляется в соответствии с приказом Федеральной службы по тарифам от 11 сентября 2012г. №209-э/1 «Об утверждении Методических указаний по определению размера платы за технологическое присоединение к электрическим сетям», постановлением комитета государственного регулирования тарифов Саратовской области от 19 декабря 2013 года №46/2 «Об установлении платы за технологическое присоединение к электрическим сетям на территории Саратовской области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с максимальной мощностью, не превышающей 15 кВт включительно», постановлением комитета государственного регулирования тарифов Саратовской области от 30 декабря 2016 года №80/3 «Об установлении стандартизированных тарифных ставок за технологическое присоединение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2017 год, постановлением Правительства РФ от 27 декабря 2004 г. N 861 «Об утверждении Правил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- далее по тексту Правила.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услуги (процесса):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Правил и наличие технической возможности технологического присоединения (за исключением лиц, указанных в пунктах 12.1, 14 и 34 Правил).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 (процесса):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фактическое присоединение объектов заявителя к электрическим сетям; фактический прием (подача) напряжения и мощности.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3182"/>
        <w:gridCol w:w="3101"/>
        <w:gridCol w:w="2891"/>
        <w:gridCol w:w="2616"/>
        <w:gridCol w:w="2222"/>
      </w:tblGrid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Содержание/условия этапа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заявителем заявки на технологическое присоединение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с приложением необходимых документов в сетевую организацию.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Заявителем в заявке указываются сведения в соответствии с пунктами 9, 12-14 Правил.</w:t>
            </w: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заявке прилагаются документы в соответствии с пунктом 10 Правил.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направляет заявку с прилагаемым к ней пакетом документов: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почтовым отправлением;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лично или через уполномоченного представителя.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заявки осуществляется в день ее поступления в сетевую организацию.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сетевой организацией проекта договора об осуществлении технологического присоединения и технических условий (далее по тексту - Договор).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Сетевая организация осуществляет: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рассмотрение заявки на наличие сведений и приложенных к ней документов, указанных в пунктах 9, 10 и 12-14 Правил;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договора в соответствии с Правилами;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подготовка технических условий в соответствии с Правилами.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направление заявителю для подписания проекта договора и технических условий.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выдаются лично заявителю или законному представителю;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заявителей, указанных в пунктах 12.1 и 14 Правил, в течение 15 дней с даты регистрации заявки в сетевой организации. 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заявителей, за исключением заявителей, указанных в пунктах 12.1 и 14 Правил, в течение 30 дней с даты регистрации заявки в сетевой организации.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 согласования технических условий с системным оператором, сетевая организация направляет заявителю для подписания проект договора не позднее 3 рабочих дней со дня их согласования с системным оператором.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отсутствии сведений и документов, указанных в пунктах 9, 10 и 12-14 Правил, сетевая организация уведомляет об этом заявителя в течение 6 рабочих дней с даты регистрации заявки.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вышеуказанные сроки, для соответствующей категории заявителя, исчисляемые со дня представления заявителем недостающих сведений.</w:t>
            </w:r>
          </w:p>
          <w:p w:rsidR="004C4E34" w:rsidRPr="004C4E34" w:rsidRDefault="004C4E34" w:rsidP="004C4E34">
            <w:pPr>
              <w:spacing w:before="100" w:beforeAutospacing="1" w:after="0" w:line="288" w:lineRule="auto"/>
              <w:ind w:firstLine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об осуществлении технологического присоединения.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подписывает оба экземпляра проекта договора и направляет 1 экземпляр сетевой организации.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несогласия с представленным сетевой организацией проектом договора и (или) несоответствия его Правилам заявитель направляет сетевой организации мотивированный отказ от его подписания или протокол разногласий к договору.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-Документы подаются лично заявителем или законным представителем, либо отправляются в адрес сетевой организации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30 дней с даты получения подписанного со стороны сетевой организации проекта договора. 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на технологическое присоединение аннулируется через 60 дней со дня получения заявителем проекта договора и технических условий, в случае не направления заявителем подписанного проекта договора в сетевую организацию либо мотивированного отказа от его подписания. 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сторонами договора об осуществлении технологического присоединения мероприятий, предусмотренных договором.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технологическому присоединению включают в себя: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 соответствии с законодательством Российской Федерации о градостроительной деятельности разработка проектной документации не является обязательной;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проверку выполнения заявителем и сетевой организацией технических условий в соответствии с </w:t>
            </w:r>
            <w:hyperlink r:id="rId4" w:anchor="block_4900" w:history="1">
              <w:r w:rsidRPr="004C4E34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разделом IX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осмотр (обследование) присоединяемых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</w:t>
            </w:r>
            <w:hyperlink w:anchor="sub_4012" w:history="1">
              <w:r w:rsidRPr="004C4E34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u w:val="single"/>
                  <w:lang w:eastAsia="ru-RU"/>
                </w:rPr>
                <w:t>пункте 12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настоящих Правил, в случае осуществления технологического присоединения их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 электрическим сетям классом напряжения до 20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 и заявителей, указанных в </w:t>
            </w:r>
            <w:hyperlink w:anchor="sub_4121" w:history="1">
              <w:r w:rsidRPr="004C4E34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u w:val="single"/>
                  <w:lang w:eastAsia="ru-RU"/>
                </w:rPr>
                <w:t>пунктах 12.1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w:anchor="sub_4013" w:history="1">
              <w:r w:rsidRPr="004C4E34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hyperlink w:anchor="sub_4014" w:history="1">
              <w:r w:rsidRPr="004C4E34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настоящих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      </w:r>
          </w:p>
          <w:p w:rsidR="004C4E34" w:rsidRPr="004C4E34" w:rsidRDefault="004C4E34" w:rsidP="004C4E34">
            <w:pPr>
              <w:spacing w:before="100" w:beforeAutospacing="1" w:after="0" w:line="288" w:lineRule="auto"/>
              <w:ind w:firstLine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</w:p>
          <w:p w:rsidR="004C4E34" w:rsidRPr="004C4E34" w:rsidRDefault="004C4E34" w:rsidP="004C4E34">
            <w:pPr>
              <w:spacing w:before="100" w:beforeAutospacing="1" w:after="240" w:line="288" w:lineRule="auto"/>
              <w:ind w:firstLine="70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-Документы подаются лично заявителем или законным представителем, либо отправляются в адрес сетевой организации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мероприятий по технологическому присоединению, который исчисляется со дня заключения договора и не может превышать: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и (или) объектов электроэнергетики: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месяца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до 670 кВт включительно;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свыше 670 кВт;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иных случаях: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месяцев - для заявителей, указанных в </w:t>
            </w:r>
            <w:hyperlink w:anchor="sub_4121" w:history="1">
              <w:r w:rsidRPr="004C4E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пунктах 12.1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w:anchor="sub_4014" w:history="1">
              <w:r w:rsidRPr="004C4E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sub_401624"/>
            <w:bookmarkEnd w:id="0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года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сетевой организацией документов о технологическом присоединении объекта заявителя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Подписание с заявителем акта об осуществлении технологического присоединения, акта разграничения балансовой принадлежности и эксплуатационной ответственности сторон, акта согласования технологической (аварийной) брони (для заявителей, указанных в </w:t>
            </w:r>
            <w:hyperlink w:anchor="sub_401402" w:history="1">
              <w:r w:rsidRPr="004C4E3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пункте 14.2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Правил).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выдаются лично заявителю или законному представителю;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</w:tbl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для направления обращений: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410010,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Тулайкова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д.9, 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(8452) 44-08-44, 79-08-08, 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Федеральной антимонопольной службы по Саратовской области: 410012,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Вольская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81. 8 (8452) 27-96-42.</w:t>
      </w:r>
    </w:p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Default="004C4E3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 ООО «Транзит-2000»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осуществления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 заявителей по индивидуальному проекту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Круг заявителей: 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юридическое, физическое лицо или индивидуальный предприниматель (за исключением лиц, указанных в п. 12.1 и 14 Правил технологического присоединения). 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 (процесса) и основание ее взимания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решением уполномоченного органа исполнительной власти в области государственного регулирования тарифов (комитет государственного регулирования тарифов Саратовской области, (далее – КГРТ)), приказом Федеральной службы по тарифам от 11 сентября 2012г. №209-э/1 «Об утверждении Методических указаний по определению размера платы за технологическое присоединение к электрическим сетям».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оказания услуги (процесса): 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 декабря 2004 г. N 861, - далее по тексту Правила, и отсутствие технической возможности технологического присоединения.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 (процесса):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фактическое присоединение объектов заявителя к электрическим сетям; фактический прием (подача) напряжения и мощности.</w:t>
      </w:r>
    </w:p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3182"/>
        <w:gridCol w:w="3101"/>
        <w:gridCol w:w="2891"/>
        <w:gridCol w:w="2616"/>
        <w:gridCol w:w="2222"/>
      </w:tblGrid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Содержание/условия этапа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заявителем заявки на технологическое присоединение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с приложением необходимых документов в сетевую организацию.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Заявителем в заявке указываются сведения в соответствии с пунктом 9 Правил.</w:t>
            </w: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заявке прилагаются документы в соответствии с пунктом 10 Правил.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направляет заявку с прилагаемым к ней пакетом документов: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почтовым отправлением;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лично или через уполномоченного представителя.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заявки осуществляется в день ее поступления в сетевую организацию.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сетевой организацией проекта договора об осуществлении технологического присоединения и технических условия (далее по тексту - Договор).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организацией осуществляется: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рассмотрение заявки на наличие сведений и приложенных к ней документов, указанных в пунктах 9, 10 и 12-14 Правил;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договора в соответствии с Правилами;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утверждение платы за технологическое присоединение по индивидуальному проекту в КГРТ;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подготовка технических условий в соответствии с Правилами;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направление заявителю для подписания проекта договора и технических условий.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выдаются лично заявителю или законному представителю;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3 рабочих дней со дня вступления в силу решения КГРТ об утверждении платы за технологическое присоединение по индивидуальному проекту.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об осуществлении технологического присоединения.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подписывает оба экземпляра проекта договора и направляет 1 экземпляр сетевой организации.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несогласия с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представленым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сетевой организацией проектом договора и (или) несоответствия его Правилам заявитель направляет сетевой организации мотивированный отказ от его подписания или протокол разногласий к договору.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подаются лично заявителем или законным представителем, либо отправляются в адрес сетевой организации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30 дней с даты получения подписанного со стороны сетевой организации проекта договора. 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на технологическое присоединение аннулируется через 60 дней со дня получения заявителем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проета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 и технических условий, в случае не направления заявителем подписанного проекта договора в сетевую организацию либо мотивированного отказа от его подписания. 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сторонами договора об осуществлении технологического присоединения мероприятий, предусмотренных договором.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технологическому присоединению включают в себя: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 соответствии с законодательством Российской Федерации о градостроительной деятельности разработка проектной документации не является обязательной;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проверку выполнения заявителем и сетевой организацией технических условий в соответствии с </w:t>
            </w:r>
            <w:hyperlink r:id="rId5" w:anchor="block_4900" w:history="1">
              <w:r w:rsidRPr="004C4E34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разделом IX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осмотр (обследование) присоединяемых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</w:t>
            </w:r>
            <w:hyperlink w:anchor="sub_4012" w:history="1">
              <w:r w:rsidRPr="004C4E34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u w:val="single"/>
                  <w:lang w:eastAsia="ru-RU"/>
                </w:rPr>
                <w:t>пункте 12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настоящих Правил, в случае осуществления технологического присоединения их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 электрическим сетям классом напряжения до 20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включительно), с выдачей заявителю акта осмотра электроустановки по форме, утверждаемой органом федерального государственного энергетического надзора;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подаются лично заявителем или законным представителем, либо отправляются в адрес сетевой организации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мероприятий по технологическому присоединению, который исчисляется со дня заключения договора и не может превышать: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менее 670 кВт;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года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не менее 670 кВт;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сетевой организацией документов о технологическом присоединении объекта заявителя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Подписание с заявителем акта об осуществлении технологического присоединения, акта разграничения балансовой принадлежности и эксплуатационной ответственности сторон, акта согласования технологической (аварийной) брони (для заявителей, указанных в </w:t>
            </w:r>
            <w:hyperlink w:anchor="sub_401402" w:history="1">
              <w:r w:rsidRPr="004C4E3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пункте 14.2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Правил).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выдаются лично заявителю или законному представителю;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</w:tbl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для направления обращений: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410010,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Тулайкова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д.9,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(8452) 44-08-44, 79-08-08, 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Федеральной антимонопольной службы по Саратовской области: 410012,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Вольская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81. 8 (8452) 27-96-42.</w:t>
      </w:r>
    </w:p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Default="004C4E3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 ООО «Транзит-2000»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временного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заявителей 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Круг заявителей: 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юридическое, физическое лицо или индивидуальный предприниматель.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 (процесса) и основание ее взимания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приказом Федеральной службы по тарифам от 11 сентября 2012г. №209-э/1 «Об утверждении Методических указаний по определению размера платы за технологическое присоединение к электрическим сетям», постановлением комитета государственного регулирования тарифов Саратовской области от 19 декабря 2013 года №46/2 «Об установлении платы за технологическое присоединение к электрическим сетям на территории Саратовской области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с максимальной мощностью, не превышающей 15 кВт включительно», постановлением комитета государственного регулирования тарифов Саратовской области от 30 декабря 2016 года №80/3 «Об установлении стандартизированных тарифных ставок за технологическое присоединение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2017 год, постановлением Правительства РФ от 27 декабря 2004 г. N 861 «Об утверждении Правил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- далее по тексту Правила.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услуги (процесса):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Правил; заявка на технологическое присоединение по временной схеме электроснабжения при наличии у заявителя заключенного договора об осуществлении технологическое присоединения по постоянной схеме электроснабжения; временное технологическое присоединение передвижных объектов на срок до 12 месяцев.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 (процесса):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фактическое присоединение объектов заявителя к электрическим сетям; фактический прием (подача) напряжения и мощности.</w:t>
      </w:r>
    </w:p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"/>
        <w:gridCol w:w="3185"/>
        <w:gridCol w:w="3104"/>
        <w:gridCol w:w="2894"/>
        <w:gridCol w:w="2603"/>
        <w:gridCol w:w="2225"/>
      </w:tblGrid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Содержание/условия этапа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заявителем заявки на технологическое присоединение по временной схеме электроснабжения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с приложением необходимых документов в сетевую организацию.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Заявителем в заявке указываются сведения в соответствии с пунктом 13 Правил.</w:t>
            </w: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заявке прилагаются документы в соответствии с подпунктом «г» и «д» пункта 10 Правил.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направляет заявку с прилагаемым к ней пакетом документов: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почтовым отправлением;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лично или через уполномоченного представителя.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заявки осуществляется в день ее поступления в сетевую организацию.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сетевой организацией проекта договора об осуществлении временного технологического присоединения и технических условия (далее по тексту - Договор).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организацией осуществляется: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рассмотрение заявки на наличие сведений и приложенных к ней документов, указанных в пункте 13 и подпунктах «г» и «д» пункта 10 Правил;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договора в соответствии с Правилами;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подготовка технических условий в соответствии с Правилами.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направление заявителю для подписания проекта договора и технических условий.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выдаются лично заявителю или законному представителю;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 с даты регистрации заявки в сетевой организации.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об осуществлении технологического присоединения.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подписывает оба экземпляра проекта договора и направляет 1 экземпляр сетевой организации.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несогласия с представленным сетевой организацией проектом договора и (или) несоответствия его Правилам заявитель направляет сетевой организации мотивированный отказ от его подписания или протокол разногласий к договору.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подаются лично заявителем или законным представителем, либо отправляются в адрес сетевой организации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30 дней с даты получения подписанного со стороны сетевой организации проекта договора. 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на технологическое присоединение аннулируется через 60 дней со дня получения заявителем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проета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 и технических условий, в случае не направления заявителем подписанного проекта договора в сетевую организацию либо мотивированного отказа от его подписания. 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сторонами договора об осуществлении технологического присоединения мероприятий, предусмотренных договором.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технологическому присоединению включают в себя: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разработку заявителем проектной документации;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проверку выполнения заявителем и сетевой организацией технических условий в соответствии с </w:t>
            </w:r>
            <w:hyperlink r:id="rId6" w:anchor="block_4900" w:history="1">
              <w:r w:rsidRPr="004C4E34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разделом IX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подаются лично заявителем или законным представителем, либо отправляются в адрес сетевой организации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рабочих дней, если в заявке не указан более продолжительный срок.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сетевой организацией документов о технологическом присоединении по временной схеме электроснабжения объекта заявителя.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Подписание с заявителем акта об осуществлении технологического присоединения, акта разграничения балансовой принадлежности и эксплуатационной ответственности сторон, акта согласования технологической (аварийной) брони (для заявителей, указанных в </w:t>
            </w:r>
            <w:hyperlink w:anchor="sub_401402" w:history="1">
              <w:r w:rsidRPr="004C4E3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пункте 14.2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Правил).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выдаются лично заявителю или законному представителю;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случае если заявителем выбран способ обмена документами в электронной форме, документы, оформляются и направляются сторонами в электронном виде</w:t>
            </w: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</w:tbl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для направления обращений: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410010,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Тулайкова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д.9, 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(8452) 44-08-44, 79-08-08, 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Федеральной антимонопольной службы по Саратовской области: 410012,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Вольская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81. 8 (8452) 27-96-42.</w:t>
      </w:r>
    </w:p>
    <w:p w:rsidR="004C4E34" w:rsidRDefault="004C4E3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 ООО «Транзит-2000»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к электрическим сетям сетевой организации 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перераспределения максимальной мощности (в том числе опосредованное присоединение) 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заявителей.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Круг заявителей: 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 или индивидуальный предприниматель.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 (процесса) и основание ее взимания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приказом Федеральной службы по тарифам от 11 сентября 2012г. №209-э/1 «Об утверждении Методических указаний по определению размера платы за технологическое присоединение к электрическим сетям», постановлением комитета государственного регулирования тарифов Саратовской области от 19 декабря 2013 года №46/2 «Об установлении платы за технологическое присоединение к электрическим сетям на территории Саратовской области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с максимальной мощностью, не превышающей 15 кВт включительно», постановлением комитета государственного регулирования тарифов Саратовской области от 30 декабря 2016 года №80/3 «Об установлении стандартизированных тарифных ставок за технологическое присоединение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2017 год, постановлением Правительства РФ от 27 декабря 2004 г. N 861 «Об утверждении Правил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- далее по тексту Правила.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услуги (процесса):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Правил; заключение соглашения о перераспределении мощности.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 (процесса):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перераспределение максимальной мощности между участниками технологического присоединения.</w:t>
      </w:r>
    </w:p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3153"/>
        <w:gridCol w:w="3169"/>
        <w:gridCol w:w="2862"/>
        <w:gridCol w:w="2603"/>
        <w:gridCol w:w="2225"/>
      </w:tblGrid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Содержание/условия этапа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заявителем в сетевую организацию уведомления о перераспределении мощности с приложенным соглашением о перераспределении мощность между лицом, чья мощность перераспределяется и лицом, в пользу которого осуществляется перераспределение, подписанное всеми сторонами с приложением необходимых документов (далее –Соглашение).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соглашения.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порядка взаимодействия сторон Соглашения с сетевой организацией и между собой, до момента осуществления фактического присоединения лица, в пользу которого перераспределяется максимальная мощность.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направляет уведомление с прилагаемым к нему пакетом документов: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почтовым отправлением;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лично или через уполномоченного представителя.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уведомления осуществляется в день его поступления в сетевую организацию.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сетевой организацией проекта договора об осуществлении технологического присоединения и технических условия (далее по тексту - Договор) лицу, в пользу которого перераспределяется мощность.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организацией осуществляется: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рассмотрение уведомления на наличие сведений и приложенных к нему документов, указанных в пункте 34 Правил;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договора в соответствии с Правилами;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подготовка технических условий в соответствии с Правилами.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направление заявителю для подписания проекта договора и технических условий.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выдаются лично заявителю или законному представителю;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30 дней с даты регистрации уведомления в сетевой организации.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 согласования технических условий с системным оператором, сетевая организация направляет заявителю для подписания проект договора не позднее 3 рабочих дней со дня их согласования с системным оператором.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отсутствии сведений и документов, указанных в пункте 34 Правил, сетевая организация уведомляет об этом заявителя в течение 6 рабочих дней с даты регистрации уведомления и направляет ему для подписания проект договора в течение 30 дней с даты получения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недостоющих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сведений.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об осуществлении технологического присоединения с лицом, в пользу которого перераспределяется мощность.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подписывает оба экземпляра проекта договора и направляет 1 экземпляр сетевой организации.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несогласия с представленным сетевой организацией проектом договора и (или) несоответствия его Правилам заявитель направляет сетевой организации мотивированный отказ от его подписания или протокол разногласий к договору.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подаются лично заявителем или законным представителем, либо отправляются в адрес сетевой организации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30 дней с даты получения подписанного со стороны сетевой организации проекта договора. 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на технологическое присоединение аннулируется через 60 дней со дня получения заявителем проекта договора и технических условий, в случае не направления заявителем подписанного проекта договора в сетевую организацию либо мотивированного отказа от его подписания. 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rHeight w:val="6720"/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сторонами договора об осуществлении технологического присоединения мероприятий, предусмотренных договором.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технологическому присоединению включают в себя: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разработку заявителем проектной документации в границах его земельного участка согласно обязательствам, предусмотренным техническими условиями;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проверку выполнения заявителем и сетевой организацией технических условий в соответствии с </w:t>
            </w:r>
            <w:hyperlink r:id="rId7" w:anchor="block_4900" w:history="1">
              <w:r w:rsidRPr="004C4E34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ru-RU"/>
                </w:rPr>
                <w:t>разделом IX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осмотр (обследование) присоединяемых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</w:t>
            </w:r>
            <w:hyperlink w:anchor="sub_4012" w:history="1">
              <w:r w:rsidRPr="004C4E34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u w:val="single"/>
                  <w:lang w:eastAsia="ru-RU"/>
                </w:rPr>
                <w:t>пункте 12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настоящих Правил, в случае осуществления технологического присоединения их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 электрическим сетям классом напряжения до 20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включительно), с выдачей заявителю акта осмотра электроустановки по форме, утверждаемой органом федерального государственного энергетического надзора;</w:t>
            </w:r>
          </w:p>
          <w:p w:rsidR="004C4E34" w:rsidRPr="004C4E34" w:rsidRDefault="004C4E34" w:rsidP="004C4E34">
            <w:pPr>
              <w:shd w:val="clear" w:color="auto" w:fill="FFFFFF"/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подаются лично заявителем или законным представителем, либо отправляются в адрес сетевой организации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мероприятий по технологическому присоединению, который исчисляется со дня заключения договора и не может превышать: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и (или) объектов электроэнергетики: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месяца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до 670 кВт включительно;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свыше 670 кВт;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иных случаях: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месяцев -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года - для заявителей, максимальная мощность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сетевой организацией документов о технологическом присоединении объекта заявителя, в пользу которого перераспределяется мощность.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Подписание с заявителем акта об осуществлении технологического присоединения, акта разграничения балансовой принадлежности и эксплуатационной ответственности сторон, акта согласования технологической (аварийной) брони (для заявителей, указанных в </w:t>
            </w:r>
            <w:hyperlink w:anchor="sub_401402" w:history="1">
              <w:r w:rsidRPr="004C4E34">
                <w:rPr>
                  <w:rFonts w:ascii="Times New Roman" w:eastAsia="Times New Roman" w:hAnsi="Times New Roman" w:cs="Times New Roman"/>
                  <w:color w:val="000000"/>
                  <w:spacing w:val="-6"/>
                  <w:sz w:val="20"/>
                  <w:szCs w:val="20"/>
                  <w:u w:val="single"/>
                  <w:lang w:eastAsia="ru-RU"/>
                </w:rPr>
                <w:t>пункте 14.2</w:t>
              </w:r>
            </w:hyperlink>
            <w:r w:rsidRPr="004C4E3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Правил).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выдаются лично заявителю или законному представителю;</w:t>
            </w:r>
          </w:p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заявителю, мощность которого перераспределяется по Соглашению, информации об изменении ранее выданных ТУ.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актов.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пр.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выдаются лично заявителю или законному представителю, либо отправляются в адрес заявителя по почте.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 со дня выдачи технических условий лицу, в пользу которого перераспределяется мощность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технических условий, внесение изменений в документы о технологическом присоединении лицу, мощность которого перераспределяется.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--------------------------------------------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подписываются и выдаются лично заявителю или законному представителю акты подписываются и выдаются лично заявителю или законному представителю либо отправляются в адрес заявителя по почте.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фактического технологического присоединения лица, максимальная мощность которого перераспределяется.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</w:tbl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для направления обращений: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410010,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Тулайкова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д.9, 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(8452) 44-08-44, 79-08-08, </w:t>
      </w:r>
    </w:p>
    <w:p w:rsid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Федеральной антимонопольной службы по Саратовской области: 410012,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Вольская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81. 8 (8452) 27-96-42.</w:t>
      </w:r>
    </w:p>
    <w:p w:rsidR="004C4E34" w:rsidRDefault="004C4E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_GoBack"/>
      <w:bookmarkEnd w:id="1"/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 ООО «Транзит-2000»</w:t>
      </w:r>
    </w:p>
    <w:p w:rsidR="004C4E34" w:rsidRPr="004C4E34" w:rsidRDefault="004C4E34" w:rsidP="004C4E34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 заявителям.</w:t>
      </w:r>
    </w:p>
    <w:p w:rsidR="004C4E34" w:rsidRPr="004C4E34" w:rsidRDefault="004C4E34" w:rsidP="004C4E3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Круг заявителей: 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юридическое, физическое лицо или индивидуальный предприниматель.</w:t>
      </w:r>
    </w:p>
    <w:p w:rsidR="004C4E34" w:rsidRPr="004C4E34" w:rsidRDefault="004C4E34" w:rsidP="004C4E3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 (процесса) и основание ее взимания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57, 79 «Правил технологического присоединения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(утв. Постановления Правительства РФ от 27 декабря 2004 г. N 861) - далее по тексту Правила (не более 1000 рублей).</w:t>
      </w:r>
    </w:p>
    <w:p w:rsidR="004C4E34" w:rsidRPr="004C4E34" w:rsidRDefault="004C4E34" w:rsidP="004C4E3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2" w:name="sub_4592"/>
      <w:bookmarkStart w:id="3" w:name="sub_4593"/>
      <w:bookmarkEnd w:id="2"/>
      <w:bookmarkEnd w:id="3"/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оказания услуги (процесса): 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утраченных документов о технологическом присоединении;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устройств;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устройств;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</w:t>
      </w:r>
    </w:p>
    <w:p w:rsidR="004C4E34" w:rsidRPr="004C4E34" w:rsidRDefault="004C4E34" w:rsidP="004C4E34">
      <w:pPr>
        <w:spacing w:before="100" w:beforeAutospacing="1"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 (процесса):</w:t>
      </w: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</w:r>
    </w:p>
    <w:p w:rsidR="004C4E34" w:rsidRPr="004C4E34" w:rsidRDefault="004C4E34" w:rsidP="004C4E34">
      <w:pPr>
        <w:spacing w:before="100" w:beforeAutospacing="1" w:after="240" w:line="276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3172"/>
        <w:gridCol w:w="3108"/>
        <w:gridCol w:w="2897"/>
        <w:gridCol w:w="2606"/>
        <w:gridCol w:w="2227"/>
      </w:tblGrid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Содержание/условия этапа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заявителем заявления на восстановление / выдачу новых технических условий (ТУ) и / или документов о технологическом присоединении.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 заявления заявителя на предмет возможности оказания данной услуги конкретному заявителю.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заявитель направляет заявление почтовым отправлением;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заявитель лично или через уполномоченного представителя подает заявление.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рабочих дней с даты регистрации заявления.</w:t>
            </w:r>
          </w:p>
          <w:p w:rsidR="004C4E34" w:rsidRPr="004C4E34" w:rsidRDefault="004C4E34" w:rsidP="004C4E34">
            <w:pPr>
              <w:spacing w:before="100" w:beforeAutospacing="1" w:after="240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отсутствии необходимых сведений и/ или документов ООО «Транзит-2000» письменно уведомляет заявителя.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  <w:tr w:rsidR="004C4E34" w:rsidRPr="004C4E34" w:rsidTr="004C4E34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справок и документов (их копий), подтверждающих технологическое присоединение к сетям сетевой организации.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ранее выданных документов о технологическом присоединении либо выдача новых документов при невозможности восстановления ранее выданных технических условий.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письменному обращению заявителя сетевая организация подготавливает и выдает справки и/или документы, подтверждающие технологическое присоединение к сетям ООО «Транзит-2000».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98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выдаются лично заявителю или законному представителю, либо отправляются в адрес заявителя почтовым отправлением.</w:t>
            </w:r>
          </w:p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сроками, указанными в разделе 8 Правил технологического присоединения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34" w:rsidRPr="004C4E34" w:rsidRDefault="004C4E34" w:rsidP="004C4E34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технологического присоединения </w:t>
            </w:r>
            <w:proofErr w:type="spellStart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4C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861).</w:t>
            </w:r>
          </w:p>
        </w:tc>
      </w:tr>
    </w:tbl>
    <w:p w:rsidR="004C4E34" w:rsidRPr="004C4E34" w:rsidRDefault="004C4E34" w:rsidP="004C4E34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для направления обращений: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410010,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Тулайкова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д.9, 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(8452) 44-08-44, 79-08-08, </w:t>
      </w:r>
    </w:p>
    <w:p w:rsidR="004C4E34" w:rsidRPr="004C4E34" w:rsidRDefault="004C4E34" w:rsidP="004C4E34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Федеральной антимонопольной службы по Саратовской области: 410012, г. Саратов, ул. </w:t>
      </w:r>
      <w:proofErr w:type="spellStart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Вольская</w:t>
      </w:r>
      <w:proofErr w:type="spellEnd"/>
      <w:r w:rsidRPr="004C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81. 8 (8452) 27-96-42.</w:t>
      </w:r>
    </w:p>
    <w:p w:rsidR="0011562F" w:rsidRDefault="0011562F"/>
    <w:sectPr w:rsidR="0011562F" w:rsidSect="004C4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9B"/>
    <w:rsid w:val="0011562F"/>
    <w:rsid w:val="004C4E34"/>
    <w:rsid w:val="00B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0FD1B-6FE2-4035-B8D8-129790F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E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E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4E3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77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7740/" TargetMode="External"/><Relationship Id="rId5" Type="http://schemas.openxmlformats.org/officeDocument/2006/relationships/hyperlink" Target="http://base.garant.ru/187740/" TargetMode="External"/><Relationship Id="rId4" Type="http://schemas.openxmlformats.org/officeDocument/2006/relationships/hyperlink" Target="http://base.garant.ru/18774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5EAF78FC</Template>
  <TotalTime>1</TotalTime>
  <Pages>36</Pages>
  <Words>7547</Words>
  <Characters>43022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Holding</Company>
  <LinksUpToDate>false</LinksUpToDate>
  <CharactersWithSpaces>50469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Гусева</dc:creator>
  <cp:keywords/>
  <dc:description/>
  <cp:lastModifiedBy>Анна Гусева</cp:lastModifiedBy>
  <cp:revision>2</cp:revision>
  <dcterms:created xsi:type="dcterms:W3CDTF">2017-03-24T11:41:00Z</dcterms:created>
  <dcterms:modified xsi:type="dcterms:W3CDTF">2017-03-24T11:42:00Z</dcterms:modified>
</cp:coreProperties>
</file>